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15FE6" w:rsidRDefault="006E6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5FE6" w:rsidRDefault="00A15FE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15FE6" w:rsidRDefault="00A15FE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15FE6" w:rsidRDefault="006E6C1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A15FE6" w:rsidRDefault="006E6C17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15FE6" w:rsidRDefault="00A15F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15FE6" w:rsidRDefault="006E6C1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A15FE6" w:rsidRDefault="006E6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UCHWAŁA NR 10/2025</w:t>
      </w:r>
    </w:p>
    <w:p w:rsidR="00A15FE6" w:rsidRDefault="006E6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A15FE6" w:rsidRDefault="006E6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</w:t>
      </w:r>
      <w:r>
        <w:rPr>
          <w:rFonts w:ascii="Arial" w:eastAsia="Arial" w:hAnsi="Arial" w:cs="Arial"/>
          <w:b/>
          <w:sz w:val="24"/>
          <w:szCs w:val="24"/>
        </w:rPr>
        <w:t>IE</w:t>
      </w:r>
    </w:p>
    <w:p w:rsidR="00A15FE6" w:rsidRDefault="006E6C17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13 marca 2025 r.</w:t>
      </w:r>
    </w:p>
    <w:p w:rsidR="00A15FE6" w:rsidRDefault="006E6C17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sprawie zatwierdzenia listy rekomendowanych zagadnień na egzamin dyplomowy na kierunku studiów organizowanie rynku pracy, studia stacjonarne, drugiego stopnia obowiązującej od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r.a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2024/2025</w:t>
      </w:r>
    </w:p>
    <w:p w:rsidR="00A15FE6" w:rsidRDefault="00A15FE6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15FE6" w:rsidRDefault="006E6C17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§ 68 ust. 2 Statutu Un</w:t>
      </w:r>
      <w:r>
        <w:rPr>
          <w:rFonts w:ascii="Arial" w:eastAsia="Arial" w:hAnsi="Arial" w:cs="Arial"/>
          <w:sz w:val="24"/>
          <w:szCs w:val="24"/>
        </w:rPr>
        <w:t>iwersytetu Warszawskiego (Monitor UW z 2019 r. poz. 190) Rada Dydaktyczna postanawia, co następuje:</w:t>
      </w:r>
    </w:p>
    <w:p w:rsidR="00A15FE6" w:rsidRDefault="006E6C17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A15FE6" w:rsidRDefault="006E6C17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Rada Dydaktyczna zatwierdza listę rekomendowanych zagadnień na egzamin dyplomowy na kierunku studiów organizowanie rynku pracy, studia stacjonarne, drugiego stopnia stanowiącą załącznik do uchwały. </w:t>
      </w:r>
    </w:p>
    <w:p w:rsidR="00A15FE6" w:rsidRDefault="006E6C17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A15FE6" w:rsidRDefault="006E6C17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A15FE6" w:rsidRDefault="00A15FE6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A15FE6" w:rsidRDefault="006E6C17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Przewodnic</w:t>
      </w:r>
      <w:r>
        <w:rPr>
          <w:rFonts w:ascii="Arial" w:eastAsia="Arial" w:hAnsi="Arial" w:cs="Arial"/>
          <w:sz w:val="24"/>
          <w:szCs w:val="24"/>
        </w:rPr>
        <w:t xml:space="preserve">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A15FE6" w:rsidRDefault="006E6C17">
      <w:pPr>
        <w:rPr>
          <w:rFonts w:ascii="Arial" w:eastAsia="Arial" w:hAnsi="Arial" w:cs="Arial"/>
          <w:i/>
          <w:sz w:val="24"/>
          <w:szCs w:val="24"/>
        </w:rPr>
        <w:sectPr w:rsidR="00A15FE6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A15FE6" w:rsidRDefault="006E6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A15FE6" w:rsidRDefault="006E6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 xml:space="preserve">do uchwały nr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color w:val="000000"/>
        </w:rPr>
        <w:t xml:space="preserve">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  <w:color w:val="000000"/>
        </w:rPr>
        <w:t xml:space="preserve"> z dnia 13 marca 2025 r. w sprawie zatwierdzenia listy rekomendowanych zagadnień na egzamin dyplomowy na kierunku studiów organizowanie rynku pracy, studia stacjonarne, drugiego stopnia obowiązującej od </w:t>
      </w:r>
      <w:proofErr w:type="spellStart"/>
      <w:r>
        <w:rPr>
          <w:rFonts w:ascii="Arial" w:eastAsia="Arial" w:hAnsi="Arial" w:cs="Arial"/>
          <w:color w:val="000000"/>
        </w:rPr>
        <w:t>r.a</w:t>
      </w:r>
      <w:proofErr w:type="spellEnd"/>
      <w:r>
        <w:rPr>
          <w:rFonts w:ascii="Arial" w:eastAsia="Arial" w:hAnsi="Arial" w:cs="Arial"/>
          <w:color w:val="000000"/>
        </w:rPr>
        <w:t>. 2024/2025</w:t>
      </w:r>
    </w:p>
    <w:p w:rsidR="00A15FE6" w:rsidRDefault="00A15FE6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222222"/>
          <w:sz w:val="16"/>
          <w:szCs w:val="16"/>
        </w:rPr>
      </w:pPr>
    </w:p>
    <w:p w:rsidR="00A15FE6" w:rsidRDefault="00A15FE6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222222"/>
          <w:sz w:val="16"/>
          <w:szCs w:val="16"/>
        </w:rPr>
      </w:pPr>
    </w:p>
    <w:p w:rsidR="00A15FE6" w:rsidRDefault="006E6C17">
      <w:pPr>
        <w:spacing w:after="120" w:line="240" w:lineRule="auto"/>
        <w:jc w:val="center"/>
        <w:rPr>
          <w:b/>
        </w:rPr>
      </w:pPr>
      <w:r>
        <w:rPr>
          <w:b/>
        </w:rPr>
        <w:t>Organizowanie rynku pracy (II stopie</w:t>
      </w:r>
      <w:r>
        <w:rPr>
          <w:b/>
        </w:rPr>
        <w:t>ń) – zagadnienia do egzaminu magisterskiego</w:t>
      </w:r>
      <w:r>
        <w:rPr>
          <w:b/>
          <w:vertAlign w:val="superscript"/>
        </w:rPr>
        <w:footnoteReference w:id="1"/>
      </w:r>
    </w:p>
    <w:p w:rsidR="00A15FE6" w:rsidRDefault="00A15FE6">
      <w:pPr>
        <w:spacing w:after="120" w:line="240" w:lineRule="auto"/>
        <w:jc w:val="center"/>
        <w:rPr>
          <w:b/>
        </w:rPr>
      </w:pP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Państwo i jego formy zaangażowania w stosunki przemysłowe 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color w:val="000000"/>
        </w:rPr>
      </w:pPr>
      <w:r>
        <w:rPr>
          <w:i/>
          <w:color w:val="000000"/>
        </w:rPr>
        <w:t>Przykładowe zagadnienia szczegółowe: porównanie modeli zaangażowania państwa w stosunki przemysłowe; mechanizmy i instytucje decydujące o charakterze relacji między pracownikami, pracodawcami i państwem. Ocena modeli pod względem wpływu na dialog społeczny</w:t>
      </w:r>
      <w:r>
        <w:rPr>
          <w:i/>
          <w:color w:val="000000"/>
        </w:rPr>
        <w:t>.</w:t>
      </w:r>
      <w:r>
        <w:rPr>
          <w:color w:val="000000"/>
        </w:rPr>
        <w:t xml:space="preserve"> 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Pakty społeczne – uwarunkowania, typy i znaczenie dla regulacji rynku pracy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</w:rPr>
      </w:pPr>
      <w:r>
        <w:rPr>
          <w:i/>
          <w:color w:val="000000"/>
        </w:rPr>
        <w:t>Przykładowe zagadnienia szczegółowe: przykłady paktów społecznych, wpływ warunków ekonomicznych, politycznych i społecznych na powstawanie paktów społecznych oraz na regulacje r</w:t>
      </w:r>
      <w:r>
        <w:rPr>
          <w:i/>
          <w:color w:val="000000"/>
        </w:rPr>
        <w:t>ynku pracy i relacje między partnerami społecznymi.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Rola polityki gospodarczej w osiąganiu równowagi na rynku pracy 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mechanizmy oddziaływania polityki fiskalnej i monetarnej na rynek pracy z uwzględnieniem różnych teori</w:t>
      </w:r>
      <w:r>
        <w:rPr>
          <w:i/>
          <w:color w:val="000000"/>
        </w:rPr>
        <w:t>i ekonomicznych, ocena skuteczności wspomnianych polityk w zapobieganiu bezrobociu i w tworzeniu nowych miejsc pracy, w tym na przykładzie kryzysów gospodarczych.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Główne elementy polskiej polityki zatrudnienia po wejściu do Unii Europejskiej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przegląd najważniejszych rozwiązań w zakresie polityki zatrudnienia w Polsce po 2004 roku, w tym zmiany dotyczące aktywizacji zawodowej, wsparcia osób bezrobotnych, oraz dostosowanie krajowego prawa pracy do wymogów uni</w:t>
      </w:r>
      <w:r>
        <w:rPr>
          <w:i/>
          <w:color w:val="000000"/>
        </w:rPr>
        <w:t>jnych. Omówienie wpływu funduszy unijnych na rozwój rynku pracy oraz przykładów wdrożonych programów (np. POWER, EFS).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Główne źródła danych stosowane w analizie rynku pracy i procesach migracyjnych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 xml:space="preserve">Przykładowe zagadnienia szczegółowe: omówienie kluczowych </w:t>
      </w:r>
      <w:r>
        <w:rPr>
          <w:i/>
          <w:color w:val="000000"/>
        </w:rPr>
        <w:t>źródeł danych (np. GUS, Eurostat, OECD, ILO) wykorzystywanych w analizie rynku pracy i migracji. Wpływ różnic metodologicznych na interpretację wyników analizy na przykładzie wybranego zagadnienia (np. bezrobocia młodych, migracji zarobkowych i In.)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>Między</w:t>
      </w:r>
      <w:r>
        <w:rPr>
          <w:b/>
        </w:rPr>
        <w:t>narodowe badania porównawcze - przykłady, możliwości wykorzystania, zakres potencjalnych analiz, zalety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 xml:space="preserve">Przykładowe zagadnienia szczegółowe: przegląd wybranych badań międzynarodowych (np. EU-LFS, PISA, World </w:t>
      </w:r>
      <w:proofErr w:type="spellStart"/>
      <w:r>
        <w:rPr>
          <w:i/>
          <w:color w:val="000000"/>
        </w:rPr>
        <w:t>Values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Survey</w:t>
      </w:r>
      <w:proofErr w:type="spellEnd"/>
      <w:r>
        <w:rPr>
          <w:i/>
          <w:color w:val="000000"/>
        </w:rPr>
        <w:t>), ich metodologii i możliwości zas</w:t>
      </w:r>
      <w:r>
        <w:rPr>
          <w:i/>
          <w:color w:val="000000"/>
        </w:rPr>
        <w:t>tosowania w analizie rynku pracy. Zalety porównań międzynarodowych w zakresie identyfikacji trendów i dobrych praktyk oraz wyzwania związane z różnicami kulturowymi i systemowymi.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>Rola menadżera w kształtowaniu kultury organizacyjnej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lastRenderedPageBreak/>
        <w:t>Przykładowe zagadnieni</w:t>
      </w:r>
      <w:r>
        <w:rPr>
          <w:i/>
          <w:color w:val="000000"/>
        </w:rPr>
        <w:t>a szczegółowe: wpływ menadżera na kształtowanie podstawowych założeń i wartości w firmie z uwzględnieniem różnych modeli i poziomów kultury organizacyjnej, z odwołaniem się do konkretnych przykładów zmian kulturowych i uwzględnieniem wyzwań z tym związanyc</w:t>
      </w:r>
      <w:r>
        <w:rPr>
          <w:i/>
          <w:color w:val="000000"/>
        </w:rPr>
        <w:t>h.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>Czynniki sprzyjające innowacyjności w firmie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 xml:space="preserve">Przykładowe zagadnienia szczegółowe: rola czynników psychologicznych, społecznych, kulturowych, organizacyjnych. Uwarunkowania, przykłady. 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Uwarunkowania prawne, ekonomiczne i społeczne dotyczące baz danych w</w:t>
      </w:r>
      <w:r>
        <w:rPr>
          <w:b/>
          <w:color w:val="000000"/>
        </w:rPr>
        <w:t xml:space="preserve"> obszarze stosunków pracy i stosunków przemysłowych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regulacje dotyczące ochrony danych osobowych (np. RODO), ich wpływ na zbieranie i przetwarzanie danych w badaniach rynku pracy. Analiza dostępności danych (np. płacowych, dotyczących czasu pracy) i ich znaczenia dla pol</w:t>
      </w:r>
      <w:r>
        <w:rPr>
          <w:i/>
          <w:color w:val="000000"/>
        </w:rPr>
        <w:t>ityki społecznej i przemysłowej.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Wpływ nowych rozwiązań technologicznych (takich jak: robotyzacja, automatyzacja, wykorzystanie sztucznej inteligencji) na rynek pracy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wpływ robotyzacji, automatyzacji i AI na strukturę z</w:t>
      </w:r>
      <w:r>
        <w:rPr>
          <w:i/>
          <w:color w:val="000000"/>
        </w:rPr>
        <w:t>atrudnienia, wymagane kompetencje oraz modele organizacji pracy. Przykłady branż najbardziej narażonych na automatyzację oraz potencjalne strategie dostosowania dla pracowników i pracodawców.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 xml:space="preserve">Wpływ sytuacji demograficznej na rynek pracy i sposoby radzenia </w:t>
      </w:r>
      <w:r>
        <w:rPr>
          <w:b/>
          <w:color w:val="000000"/>
        </w:rPr>
        <w:t>sobie z niedoborem pracowników 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 xml:space="preserve">Przykładowe zagadnienia szczegółowe: analiza skutków starzenia się społeczeństwa oraz spadku dzietności na strukturę rynku pracy. Przykłady polityk i strategii przeciwdziałania niedoborowi pracowników, takich jak wspieranie </w:t>
      </w:r>
      <w:r>
        <w:rPr>
          <w:i/>
          <w:color w:val="000000"/>
        </w:rPr>
        <w:t>migracji, wydłużanie aktywności zawodowej osób starszych, automatyzacja pracy oraz inwestowanie w szkolenia i kwalifikacje zawodowe.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 xml:space="preserve">Formy zatrudnienia - zalety i wady poszczególnych form z perspektywy pracownika i przedsiębiorstwa 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</w:t>
      </w:r>
      <w:r>
        <w:rPr>
          <w:i/>
          <w:color w:val="000000"/>
        </w:rPr>
        <w:t xml:space="preserve"> szczegółowe: omówienie form zatrudnienia (umowa o pracę, umowy cywilnoprawne, samozatrudnienie, praca tymczasowa), ich korzyści i ograniczeń w kontekście elastyczności, stabilności, kosztów i ochrony prawnej. Przykłady dostosowania form zatrudnienia do sp</w:t>
      </w:r>
      <w:r>
        <w:rPr>
          <w:i/>
          <w:color w:val="000000"/>
        </w:rPr>
        <w:t>ecyfiki branży.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  <w:i/>
          <w:color w:val="000000"/>
        </w:rPr>
        <w:t>Employee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value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proposition</w:t>
      </w:r>
      <w:proofErr w:type="spellEnd"/>
      <w:r>
        <w:rPr>
          <w:b/>
          <w:color w:val="000000"/>
        </w:rPr>
        <w:t xml:space="preserve"> (propozycja wartości dla pracowników) – rodzaje korzyści oferowanych przez markę pracodawcy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kategorie korzyści w EVP (np. finansowe, rozwojowe, kulturowe, społeczne), znaczenie</w:t>
      </w:r>
      <w:r>
        <w:rPr>
          <w:i/>
          <w:color w:val="000000"/>
        </w:rPr>
        <w:t xml:space="preserve"> EVP w budowaniu wizerunku pracodawcy i przyciąganiu talentów. Przykłady działań zwiększających atrakcyjność EVP w kontekście konkurencyjności na rynku pracy.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Rola interesariuszy zewnętrznych w procesie tworzenia i kształtowania społecznej odpowiedzialnośc</w:t>
      </w:r>
      <w:r>
        <w:rPr>
          <w:b/>
          <w:color w:val="000000"/>
        </w:rPr>
        <w:t>i przedsiębiorstwa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identyfikacja głównych interesariuszy (klienci, dostawcy, społeczności lokalne, organizacje pozarządowe) oraz ich wpływu na strategie CSR. Przykłady programów CSR wynikających z dialogu z interesarius</w:t>
      </w:r>
      <w:r>
        <w:rPr>
          <w:i/>
          <w:color w:val="000000"/>
        </w:rPr>
        <w:t>zami oraz ich wpływu na wizerunek firmy.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Regulacje prawne oraz praktyka stosowania różnych form i systemów wynagradzania i motywowania pracowników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lastRenderedPageBreak/>
        <w:t>Przykładowe zagadnienia szczegółowe: wybrane formy wynagradzania (np. czasowa, akordowa, premiowa, partycypac</w:t>
      </w:r>
      <w:r>
        <w:rPr>
          <w:i/>
          <w:color w:val="000000"/>
        </w:rPr>
        <w:t>ja w zyskach) oraz regulacje prawne w tym zakresie w Polsce. Wpływ poszczególnych systemów na motywację, retencję i satysfakcję pracowników z powołaniem się na przykłady z różnych sektorów gospodarki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  <w:r>
        <w:rPr>
          <w:b/>
          <w:color w:val="000000"/>
        </w:rPr>
        <w:t>Uwarunkowania, znaczenie i instrumenty wsparcia kształcenia ustawicznego w Polsce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 xml:space="preserve">Przykładowe zagadnienia szczegółowe: główne bariery (prawne, ekonomiczne, organizacyjne) rozwoju kształcenia ustawicznego w Polsce, wybrane instrumenty wsparcia (np. Krajowy </w:t>
      </w:r>
      <w:r>
        <w:rPr>
          <w:i/>
          <w:color w:val="000000"/>
        </w:rPr>
        <w:t>Fundusz Szkoleniowy, bony szkoleniowe), ocena ich skuteczność w podnoszeniu kwalifikacji pracowników.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  <w:r>
        <w:rPr>
          <w:b/>
          <w:color w:val="000000"/>
        </w:rPr>
        <w:t>Przygotowanie i wdrożenie strategii rozwoju zawodowego pracowników w organizacji - kluczowe elementy procesu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identyfi</w:t>
      </w:r>
      <w:r>
        <w:rPr>
          <w:i/>
          <w:color w:val="000000"/>
        </w:rPr>
        <w:t>kacja potrzeb szkoleniowych w organizacji (np. analiza kompetencji, ocena efektywności zespołów), planowanie strategii rozwoju zawodowego (np. ustalanie celów, wybór odpowiednich form szkoleń i programów rozwojowych), wdrażanie strategii (np. organizacja w</w:t>
      </w:r>
      <w:r>
        <w:rPr>
          <w:i/>
          <w:color w:val="000000"/>
        </w:rPr>
        <w:t>arsztatów, mentoring, e-learning), monitorowanie i ocena skuteczności działań. Przykłady programów rozwojowych dla pracowników.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Kryteria różnorodności kulturowej na poziomie organizacji oraz najbardziej widoczne w polskim świecie pracy wymiary różnorodnośc</w:t>
      </w:r>
      <w:r>
        <w:rPr>
          <w:b/>
          <w:color w:val="000000"/>
        </w:rPr>
        <w:t>i kulturowej zespołów pracowniczych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definicja różnorodności kulturowej i jej znaczenie w miejscu pracy, kryteria oceny różnorodności (np. narodowość, język, religia, wiek, płeć, niepełnosprawność). Wymiary różnorodności</w:t>
      </w:r>
      <w:r>
        <w:rPr>
          <w:i/>
          <w:color w:val="000000"/>
        </w:rPr>
        <w:t xml:space="preserve"> kulturowej w Polsce. Analiza korzyści (np. zwiększenie kreatywności, lepsza adaptacja do międzynarodowych rynków) i wyzwań i problemów (np. bariery językowe, konflikty kulturowe) wynikających z różnorodności zespołów pracowniczych. Przykłady narzędzi i pr</w:t>
      </w:r>
      <w:r>
        <w:rPr>
          <w:i/>
          <w:color w:val="000000"/>
        </w:rPr>
        <w:t>aktyk wspierających zarządzanie różnorodnością kulturową w organizacji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Formy przeciwdziałania nieprawidłowościom w przedsiębiorstwie w kontekście ochrony pracowników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Najważniejsze instrumenty prawne i organizacyjne, któ</w:t>
      </w:r>
      <w:r>
        <w:rPr>
          <w:i/>
          <w:color w:val="000000"/>
        </w:rPr>
        <w:t xml:space="preserve">re służą wykrywaniu i zapobieganiu nieprawidłowościom (takim jak np. korupcja, </w:t>
      </w:r>
      <w:proofErr w:type="spellStart"/>
      <w:r>
        <w:rPr>
          <w:i/>
          <w:color w:val="000000"/>
        </w:rPr>
        <w:t>mobbing</w:t>
      </w:r>
      <w:proofErr w:type="spellEnd"/>
      <w:r>
        <w:rPr>
          <w:i/>
          <w:color w:val="000000"/>
        </w:rPr>
        <w:t>, dyskryminacja) w przedsiębiorstwie. Procedury zapewniające ochronę pracownikom, dylematy etyczne, które mogą się wiązać z tą problematyką.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Różnice między lobbingiem, rz</w:t>
      </w:r>
      <w:r>
        <w:rPr>
          <w:b/>
          <w:color w:val="000000"/>
        </w:rPr>
        <w:t>ecznictwem interesów a dialogiem społecznym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porównanie definicji, celów i zakresu lobbingu, rzecznictwa interesów i dialogu społecznego w kontekście rynku pracy. Mechanizmy i narzędzia lobbingu oraz rzecznictwa interesó</w:t>
      </w:r>
      <w:r>
        <w:rPr>
          <w:i/>
          <w:color w:val="000000"/>
        </w:rPr>
        <w:t>w stosowane w Polsce, z uwzględnieniem aspektów etycznych i prawnych oraz wpływu cyfryzacji i mediów społecznościowych. Ocena roli i efektywności dialogu społecznego jako metody rozwiązywania konfliktów i budowania konsensusu na rynku pracy w Polsce, w kon</w:t>
      </w:r>
      <w:r>
        <w:rPr>
          <w:i/>
          <w:color w:val="000000"/>
        </w:rPr>
        <w:t>tekście funkcjonowania instytucji dialogu społecznego na różnych poziomach (krajowy, regionalny, sektorowy, zakładowy).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 xml:space="preserve">Metody rozwiązywania konfliktów i sporów zbiorowych w organizacji 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analiza źródeł i rodzajów konfliktów w organizacjach, ze szczególnym uwzględnieniem przyczyn sporów zbiorowych w kontekście polskiego rynku pracy. Porównanie metod rozwiązywania konfliktów indywidualnych (negocjacje, me</w:t>
      </w:r>
      <w:r>
        <w:rPr>
          <w:i/>
          <w:color w:val="000000"/>
        </w:rPr>
        <w:t xml:space="preserve">diacje, coaching) i sporów zbiorowych (rokowania, mediacje, arbitraż, strajk) w organizacjach, wraz z omówieniem procedur prawnych dotyczących sporów zbiorowych w Polsce. Omówienie roli </w:t>
      </w:r>
      <w:r>
        <w:rPr>
          <w:i/>
          <w:color w:val="000000"/>
        </w:rPr>
        <w:lastRenderedPageBreak/>
        <w:t>menedżera i działu HR w zapobieganiu i rozwiązywaniu konfliktów i spor</w:t>
      </w:r>
      <w:r>
        <w:rPr>
          <w:i/>
          <w:color w:val="000000"/>
        </w:rPr>
        <w:t>ów zbiorowych w organizacji, w kontekście budowania kultury dialogu i wykorzystania mediacji oraz innych narzędzi.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Podstawowe etapy procesu zarządzania/ kierowania zmianą w organizacji. Kluczowe elementy dla każdego z etapów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</w:t>
      </w:r>
      <w:r>
        <w:rPr>
          <w:i/>
          <w:color w:val="000000"/>
        </w:rPr>
        <w:t>łowe: poszczególne fazy zarządzania zmianą. Czynniki wpływające na pojawienie się oporu wobec zmiany, skuteczne sposoby przeciwdziałania takiemu oporowi, przykłady z praktyki organizacji publicznej lub komercyjnej.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Proces coachingu - zasady, realizacja, ob</w:t>
      </w:r>
      <w:r>
        <w:rPr>
          <w:b/>
          <w:color w:val="000000"/>
        </w:rPr>
        <w:t>szary zastosowania w kontekście rynku pracy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 xml:space="preserve">Przykładowe zagadnienia szczegółowe: omówienie zasad skutecznego coachingu (np. celowość, aktywne słuchanie, otwarte pytania). Przykłady zastosowania coachingu w kontekście rozwoju kariery zawodowej, zwiększania </w:t>
      </w:r>
      <w:r>
        <w:rPr>
          <w:i/>
          <w:color w:val="000000"/>
        </w:rPr>
        <w:t>efektywności zespołów oraz wspierania pracowników w okresach zmian organizacyjnych.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  <w:color w:val="000000"/>
        </w:rPr>
        <w:t>Główne style, zasady i techniki negocjacyjne – uwarunkowania, skuteczność, aspekty etyczne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charakterystyka podstawowych stylów negocjac</w:t>
      </w:r>
      <w:r>
        <w:rPr>
          <w:i/>
          <w:color w:val="000000"/>
        </w:rPr>
        <w:t>yjnych (np. kooperacyjny, rywalizacyjny). Zasady skutecznych negocjacji (np. BATNA, aktywne słuchanie). Analiza wyzwań etycznych w negocjacjach oraz ich wpływu na relacje między stronami.</w:t>
      </w:r>
    </w:p>
    <w:p w:rsidR="00A15FE6" w:rsidRDefault="006E6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Kryteria oceny jakości debaty publicznej. Ocena wybranej debaty dotyczącej rynku pracy przez pryzmat tych kryteriów</w:t>
      </w:r>
    </w:p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Przykładowe zagadnienia szczegółowe: kryteria oceny debaty (np. transparentność, merytoryczność, język argumentacji, reprezentatywność uczes</w:t>
      </w:r>
      <w:r>
        <w:rPr>
          <w:i/>
          <w:color w:val="000000"/>
        </w:rPr>
        <w:t>tników, udział ekspertów). Przykłady debat bezpośrednio bądź pośrednio dotyczących rynku pracy (np. minimalne wynagrodzenie, migracje zarobkowe, Rodzina 800+) i ich analiza pod kątem spełnienia wspomnianych kryteriów.</w:t>
      </w:r>
    </w:p>
    <w:p w:rsidR="00A15FE6" w:rsidRDefault="00A15FE6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sectPr w:rsidR="00A15FE6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17" w:rsidRDefault="006E6C17">
      <w:pPr>
        <w:spacing w:after="0" w:line="240" w:lineRule="auto"/>
      </w:pPr>
      <w:r>
        <w:separator/>
      </w:r>
    </w:p>
  </w:endnote>
  <w:endnote w:type="continuationSeparator" w:id="0">
    <w:p w:rsidR="006E6C17" w:rsidRDefault="006E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17" w:rsidRDefault="006E6C17">
      <w:pPr>
        <w:spacing w:after="0" w:line="240" w:lineRule="auto"/>
      </w:pPr>
      <w:r>
        <w:separator/>
      </w:r>
    </w:p>
  </w:footnote>
  <w:footnote w:type="continuationSeparator" w:id="0">
    <w:p w:rsidR="006E6C17" w:rsidRDefault="006E6C17">
      <w:pPr>
        <w:spacing w:after="0" w:line="240" w:lineRule="auto"/>
      </w:pPr>
      <w:r>
        <w:continuationSeparator/>
      </w:r>
    </w:p>
  </w:footnote>
  <w:footnote w:id="1">
    <w:p w:rsidR="00A15FE6" w:rsidRDefault="006E6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Kursywą przy każdym zagadnieniu głównym umieszczono przykładowe zagadnienia szczegółowe.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E6" w:rsidRDefault="00A15FE6"/>
  <w:p w:rsidR="00A15FE6" w:rsidRDefault="00A15F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5163"/>
    <w:multiLevelType w:val="multilevel"/>
    <w:tmpl w:val="20E8B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E6"/>
    <w:rsid w:val="00517677"/>
    <w:rsid w:val="006E6C17"/>
    <w:rsid w:val="00A1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EAEE6-35A3-42EB-9AD2-58D55F3A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5F3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5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JCjj50AMTepVat0C6K41/y93w==">CgMxLjAyCGguZ2pkZ3hzMgloLjMwajB6bGw4AHIhMXVyYVhvNXNycEpHNmpuS3JvYWRmb1ZRdHE4NEZCcnNw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2025-03-17T11:49:00Z</dcterms:created>
  <dcterms:modified xsi:type="dcterms:W3CDTF">2025-03-17T11:49:00Z</dcterms:modified>
</cp:coreProperties>
</file>