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F8" w:rsidRDefault="001C13E5" w:rsidP="003127F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3127F8" w:rsidRDefault="003127F8" w:rsidP="003127F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3C3E52">
        <w:rPr>
          <w:rFonts w:ascii="Times New Roman" w:hAnsi="Times New Roman" w:cs="Times New Roman"/>
          <w:sz w:val="16"/>
          <w:szCs w:val="16"/>
        </w:rPr>
        <w:t>17.03..2022  do uchwały nr 32</w:t>
      </w:r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127F8" w:rsidRDefault="003127F8" w:rsidP="003127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127F8" w:rsidRDefault="003127F8" w:rsidP="003127F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3127F8" w:rsidRDefault="003127F8" w:rsidP="003127F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3127F8" w:rsidRDefault="003127F8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66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 w:rsidR="00846319">
        <w:rPr>
          <w:rFonts w:ascii="Times New Roman" w:hAnsi="Times New Roman" w:cs="Times New Roman"/>
          <w:b/>
          <w:sz w:val="28"/>
          <w:szCs w:val="28"/>
        </w:rPr>
        <w:t>, I stopnia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cykl 2021/2022</w:t>
      </w:r>
    </w:p>
    <w:p w:rsidR="004B3AF2" w:rsidRPr="00FA61C6" w:rsidRDefault="004B3AF2">
      <w:pPr>
        <w:rPr>
          <w:rFonts w:ascii="Times New Roman" w:hAnsi="Times New Roman" w:cs="Times New Roman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2265"/>
        <w:gridCol w:w="2266"/>
        <w:gridCol w:w="9639"/>
      </w:tblGrid>
      <w:tr w:rsidR="00EB2A57" w:rsidRPr="00846319" w:rsidTr="00EB2A57">
        <w:tc>
          <w:tcPr>
            <w:tcW w:w="2265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9639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420066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14">
              <w:rPr>
                <w:rFonts w:ascii="Times New Roman" w:hAnsi="Times New Roman" w:cs="Times New Roman"/>
                <w:sz w:val="24"/>
                <w:szCs w:val="24"/>
              </w:rPr>
              <w:t>Rola i zadania sektora prywatnego w zakresie ochrony fizy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infrastruktury krytycznej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420100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Zjawisko nielegalnej migracji jako zagrożenie dla bezpieczeństwa Rzeczpospolitej Polskiej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420070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Rola Straży Granicznej w zapewnianiu bezpieczeństwa państwa na przykładzie placówki Straży Granicznej w Lesznowoli 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Grójca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402738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Rola świadomości społecznej w prewencji terroryzmu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7C43C1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420018</w:t>
            </w:r>
          </w:p>
        </w:tc>
        <w:tc>
          <w:tcPr>
            <w:tcW w:w="9639" w:type="dxa"/>
          </w:tcPr>
          <w:p w:rsidR="00EB2A57" w:rsidRPr="007C43C1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Funkcjonowanie policji w zakresie zapobiegania przestępstwom nieletnich na przykładzie Komendy Stołecznej Policji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266" w:type="dxa"/>
          </w:tcPr>
          <w:p w:rsidR="00EB2A57" w:rsidRPr="007C43C1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427386</w:t>
            </w:r>
          </w:p>
        </w:tc>
        <w:tc>
          <w:tcPr>
            <w:tcW w:w="9639" w:type="dxa"/>
          </w:tcPr>
          <w:p w:rsidR="00EB2A57" w:rsidRPr="007C43C1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3C1">
              <w:rPr>
                <w:rFonts w:ascii="Times New Roman" w:hAnsi="Times New Roman" w:cs="Times New Roman"/>
                <w:sz w:val="24"/>
                <w:szCs w:val="24"/>
              </w:rPr>
              <w:t>Organizacja i bezpieczeństwo imprez masowych - studium porównawcze meczu piłki siatkowej i meczu piłki nożnej</w:t>
            </w:r>
          </w:p>
        </w:tc>
      </w:tr>
      <w:tr w:rsidR="00EB2A57" w:rsidRPr="00846319" w:rsidTr="00EB2A57">
        <w:tc>
          <w:tcPr>
            <w:tcW w:w="2265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 Marek Nadolski</w:t>
            </w:r>
          </w:p>
        </w:tc>
        <w:tc>
          <w:tcPr>
            <w:tcW w:w="2266" w:type="dxa"/>
          </w:tcPr>
          <w:p w:rsidR="00EB2A57" w:rsidRDefault="00EB2A57" w:rsidP="009B6F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427374</w:t>
            </w:r>
          </w:p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FD1">
              <w:rPr>
                <w:rFonts w:ascii="Times New Roman" w:hAnsi="Times New Roman" w:cs="Times New Roman"/>
                <w:sz w:val="24"/>
                <w:szCs w:val="24"/>
              </w:rPr>
              <w:t>Komuniści wobec idei bezpieczeństwa zbiorowego w Europie w XX wieku</w:t>
            </w:r>
          </w:p>
        </w:tc>
      </w:tr>
      <w:tr w:rsidR="00EB2A57" w:rsidRPr="00846319" w:rsidTr="00EB2A57">
        <w:tc>
          <w:tcPr>
            <w:tcW w:w="2265" w:type="dxa"/>
          </w:tcPr>
          <w:p w:rsidR="00EB2A57" w:rsidRPr="009B6FD1" w:rsidRDefault="00EB2A57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 Marek Nadolski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420008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Dekada Gierka. Bezpieczeństwo socjalne w wymiarze rzeczywistym i propagandowym </w:t>
            </w:r>
          </w:p>
        </w:tc>
      </w:tr>
      <w:tr w:rsidR="00EB2A57" w:rsidRPr="00846319" w:rsidTr="00EB2A57">
        <w:tc>
          <w:tcPr>
            <w:tcW w:w="2265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BFBFBF" w:themeFill="background1" w:themeFillShade="BF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D57E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Dr hab. Daniel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C5">
              <w:rPr>
                <w:rFonts w:ascii="Times New Roman" w:hAnsi="Times New Roman" w:cs="Times New Roman"/>
                <w:sz w:val="24"/>
                <w:szCs w:val="24"/>
              </w:rPr>
              <w:t>420215</w:t>
            </w:r>
          </w:p>
        </w:tc>
        <w:tc>
          <w:tcPr>
            <w:tcW w:w="9639" w:type="dxa"/>
          </w:tcPr>
          <w:p w:rsidR="00EB2A57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C5">
              <w:rPr>
                <w:rFonts w:ascii="Times New Roman" w:hAnsi="Times New Roman" w:cs="Times New Roman"/>
                <w:sz w:val="24"/>
                <w:szCs w:val="24"/>
              </w:rPr>
              <w:t>Rosyjskie środki aktywne w konfrontacji informacyjnej i wojnie hybrydowej – studium przypadku konfliktu w Ukrainie</w:t>
            </w:r>
          </w:p>
          <w:p w:rsidR="00EB2A57" w:rsidRPr="00487B16" w:rsidRDefault="00EB2A57" w:rsidP="0084631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2A57" w:rsidRPr="00846319" w:rsidTr="00EB2A57">
        <w:tc>
          <w:tcPr>
            <w:tcW w:w="2265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Dominika Harasimiuk </w:t>
            </w:r>
          </w:p>
        </w:tc>
        <w:tc>
          <w:tcPr>
            <w:tcW w:w="2266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48">
              <w:rPr>
                <w:rFonts w:ascii="Times New Roman" w:hAnsi="Times New Roman" w:cs="Times New Roman"/>
                <w:sz w:val="24"/>
                <w:szCs w:val="24"/>
              </w:rPr>
              <w:t>424386</w:t>
            </w:r>
          </w:p>
        </w:tc>
        <w:tc>
          <w:tcPr>
            <w:tcW w:w="9639" w:type="dxa"/>
          </w:tcPr>
          <w:p w:rsidR="00EB2A57" w:rsidRPr="00846319" w:rsidRDefault="00EB2A57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D6C">
              <w:rPr>
                <w:rFonts w:ascii="Times New Roman" w:hAnsi="Times New Roman" w:cs="Times New Roman"/>
                <w:sz w:val="24"/>
                <w:szCs w:val="24"/>
              </w:rPr>
              <w:t>Wpływ kryzysu ukraińsko-rosyjskiego w latach 2014-2021 na bezpieczeństwo energetyczne Unii Europejskiej</w:t>
            </w:r>
          </w:p>
        </w:tc>
      </w:tr>
    </w:tbl>
    <w:p w:rsidR="004B3AF2" w:rsidRPr="00FA61C6" w:rsidRDefault="004B3AF2">
      <w:pPr>
        <w:rPr>
          <w:rFonts w:ascii="Times New Roman" w:hAnsi="Times New Roman" w:cs="Times New Roman"/>
        </w:rPr>
      </w:pPr>
    </w:p>
    <w:sectPr w:rsidR="004B3AF2" w:rsidRPr="00FA61C6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F2"/>
    <w:rsid w:val="00054475"/>
    <w:rsid w:val="00127D56"/>
    <w:rsid w:val="001946D8"/>
    <w:rsid w:val="001C13E5"/>
    <w:rsid w:val="002902FC"/>
    <w:rsid w:val="003127F8"/>
    <w:rsid w:val="003C3E52"/>
    <w:rsid w:val="003D6D6C"/>
    <w:rsid w:val="00404CDE"/>
    <w:rsid w:val="00407EB4"/>
    <w:rsid w:val="00487B16"/>
    <w:rsid w:val="004B3AF2"/>
    <w:rsid w:val="005A063C"/>
    <w:rsid w:val="007C43C1"/>
    <w:rsid w:val="00846319"/>
    <w:rsid w:val="008A66DC"/>
    <w:rsid w:val="009135FD"/>
    <w:rsid w:val="00961612"/>
    <w:rsid w:val="00977D66"/>
    <w:rsid w:val="009B6FD1"/>
    <w:rsid w:val="00A94350"/>
    <w:rsid w:val="00B27AC2"/>
    <w:rsid w:val="00B63998"/>
    <w:rsid w:val="00BD768E"/>
    <w:rsid w:val="00CE465C"/>
    <w:rsid w:val="00D57EC5"/>
    <w:rsid w:val="00DE728A"/>
    <w:rsid w:val="00E129BF"/>
    <w:rsid w:val="00EB2A57"/>
    <w:rsid w:val="00F07D4E"/>
    <w:rsid w:val="00F4614F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98E18-C2BE-46F5-9046-CE2E6CA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15</cp:revision>
  <dcterms:created xsi:type="dcterms:W3CDTF">2022-03-12T10:14:00Z</dcterms:created>
  <dcterms:modified xsi:type="dcterms:W3CDTF">2022-03-18T10:03:00Z</dcterms:modified>
</cp:coreProperties>
</file>