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C8E61BA" w14:textId="167F1D96" w:rsidR="00F94BB1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E015F7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5578D">
        <w:rPr>
          <w:rFonts w:ascii="Arial" w:eastAsia="Arial" w:hAnsi="Arial" w:cs="Arial"/>
          <w:b/>
          <w:sz w:val="24"/>
          <w:szCs w:val="24"/>
        </w:rPr>
        <w:t>50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68C821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5578D">
        <w:rPr>
          <w:rFonts w:ascii="Arial" w:eastAsia="Arial" w:hAnsi="Arial" w:cs="Arial"/>
          <w:sz w:val="24"/>
          <w:szCs w:val="24"/>
        </w:rPr>
        <w:t>30</w:t>
      </w:r>
      <w:r w:rsidR="005201A6">
        <w:rPr>
          <w:rFonts w:ascii="Arial" w:eastAsia="Arial" w:hAnsi="Arial" w:cs="Arial"/>
          <w:sz w:val="24"/>
          <w:szCs w:val="24"/>
        </w:rPr>
        <w:t xml:space="preserve"> czerwca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5AF228D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85578D">
        <w:rPr>
          <w:rFonts w:ascii="Times New Roman" w:hAnsi="Times New Roman"/>
          <w:sz w:val="16"/>
          <w:szCs w:val="16"/>
        </w:rPr>
        <w:t>30</w:t>
      </w:r>
      <w:r w:rsidR="005201A6">
        <w:rPr>
          <w:rFonts w:ascii="Times New Roman" w:hAnsi="Times New Roman"/>
          <w:sz w:val="16"/>
          <w:szCs w:val="16"/>
        </w:rPr>
        <w:t>/06/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85578D">
        <w:rPr>
          <w:rFonts w:ascii="Times New Roman" w:hAnsi="Times New Roman"/>
          <w:sz w:val="16"/>
          <w:szCs w:val="16"/>
        </w:rPr>
        <w:t>50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762ABFD5" w14:textId="77777777" w:rsidR="0085578D" w:rsidRDefault="0085578D" w:rsidP="0085578D">
      <w:pPr>
        <w:pStyle w:val="Legenda"/>
        <w:keepNext/>
      </w:pPr>
    </w:p>
    <w:p w14:paraId="52146CE4" w14:textId="77777777" w:rsidR="0085578D" w:rsidRPr="0085578D" w:rsidRDefault="0085578D" w:rsidP="0085578D">
      <w:pPr>
        <w:pStyle w:val="Legenda"/>
        <w:keepNext/>
        <w:rPr>
          <w:i w:val="0"/>
          <w:sz w:val="24"/>
          <w:szCs w:val="24"/>
        </w:rPr>
      </w:pPr>
      <w:r w:rsidRPr="0085578D">
        <w:rPr>
          <w:i w:val="0"/>
          <w:sz w:val="24"/>
          <w:szCs w:val="24"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2"/>
        <w:gridCol w:w="9393"/>
        <w:gridCol w:w="3306"/>
      </w:tblGrid>
      <w:tr w:rsidR="0085578D" w:rsidRPr="003C4952" w14:paraId="3824C233" w14:textId="77777777" w:rsidTr="0085578D">
        <w:trPr>
          <w:trHeight w:val="83"/>
        </w:trPr>
        <w:tc>
          <w:tcPr>
            <w:tcW w:w="1212" w:type="dxa"/>
          </w:tcPr>
          <w:p w14:paraId="74A23846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  <w:color w:val="222222"/>
                <w:shd w:val="clear" w:color="auto" w:fill="FFFFFF"/>
              </w:rPr>
              <w:t>433428</w:t>
            </w:r>
          </w:p>
        </w:tc>
        <w:tc>
          <w:tcPr>
            <w:tcW w:w="9393" w:type="dxa"/>
          </w:tcPr>
          <w:p w14:paraId="3F71BFF9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  <w:color w:val="222222"/>
                <w:shd w:val="clear" w:color="auto" w:fill="FFFFFF"/>
              </w:rPr>
              <w:t>Tożsamość międzynarodowa Irlandii</w:t>
            </w:r>
          </w:p>
        </w:tc>
        <w:tc>
          <w:tcPr>
            <w:tcW w:w="3306" w:type="dxa"/>
          </w:tcPr>
          <w:p w14:paraId="09DE81C3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S. Bieleń</w:t>
            </w:r>
          </w:p>
        </w:tc>
      </w:tr>
    </w:tbl>
    <w:p w14:paraId="79CD3FC5" w14:textId="77777777" w:rsidR="0085578D" w:rsidRDefault="0085578D" w:rsidP="0085578D">
      <w:pPr>
        <w:pStyle w:val="Legenda"/>
        <w:keepNext/>
      </w:pPr>
    </w:p>
    <w:p w14:paraId="10A1B332" w14:textId="610E39D3" w:rsidR="0085578D" w:rsidRPr="0085578D" w:rsidRDefault="0085578D" w:rsidP="0085578D">
      <w:pPr>
        <w:pStyle w:val="Legenda"/>
        <w:keepNext/>
        <w:rPr>
          <w:i w:val="0"/>
          <w:sz w:val="24"/>
          <w:szCs w:val="24"/>
        </w:rPr>
      </w:pPr>
      <w:r w:rsidRPr="0085578D">
        <w:rPr>
          <w:i w:val="0"/>
          <w:sz w:val="24"/>
          <w:szCs w:val="24"/>
        </w:rP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2"/>
        <w:gridCol w:w="9419"/>
        <w:gridCol w:w="3308"/>
      </w:tblGrid>
      <w:tr w:rsidR="0085578D" w:rsidRPr="003C4952" w14:paraId="68F1A0F5" w14:textId="77777777" w:rsidTr="0085578D">
        <w:trPr>
          <w:trHeight w:val="281"/>
        </w:trPr>
        <w:tc>
          <w:tcPr>
            <w:tcW w:w="1192" w:type="dxa"/>
            <w:vAlign w:val="bottom"/>
          </w:tcPr>
          <w:p w14:paraId="26644BAC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  <w:color w:val="222222"/>
              </w:rPr>
              <w:t>445898</w:t>
            </w:r>
          </w:p>
        </w:tc>
        <w:tc>
          <w:tcPr>
            <w:tcW w:w="9419" w:type="dxa"/>
          </w:tcPr>
          <w:p w14:paraId="07460A62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  <w:color w:val="222222"/>
                <w:shd w:val="clear" w:color="auto" w:fill="FFFFFF"/>
              </w:rPr>
              <w:t>Perspektywa członkostwa Republiki Mołdawii w Unii Europejskiej.</w:t>
            </w:r>
          </w:p>
        </w:tc>
        <w:tc>
          <w:tcPr>
            <w:tcW w:w="3308" w:type="dxa"/>
          </w:tcPr>
          <w:p w14:paraId="25091830" w14:textId="77777777" w:rsidR="0085578D" w:rsidRPr="003C4952" w:rsidRDefault="0085578D" w:rsidP="0085578D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 w:rsidRPr="003C4952">
              <w:rPr>
                <w:rFonts w:cstheme="minorHAnsi"/>
              </w:rPr>
              <w:t>Szeptycki</w:t>
            </w:r>
          </w:p>
        </w:tc>
      </w:tr>
      <w:tr w:rsidR="0085578D" w:rsidRPr="003C4952" w14:paraId="497CBC73" w14:textId="77777777" w:rsidTr="0085578D">
        <w:trPr>
          <w:trHeight w:val="533"/>
        </w:trPr>
        <w:tc>
          <w:tcPr>
            <w:tcW w:w="1192" w:type="dxa"/>
          </w:tcPr>
          <w:p w14:paraId="18B8C7B3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445897</w:t>
            </w:r>
          </w:p>
        </w:tc>
        <w:tc>
          <w:tcPr>
            <w:tcW w:w="9419" w:type="dxa"/>
          </w:tcPr>
          <w:p w14:paraId="6BE4FDA9" w14:textId="77777777" w:rsidR="0085578D" w:rsidRPr="00A76734" w:rsidRDefault="0085578D" w:rsidP="00EA682B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Ewolucja polityki zagranicznej Ukrainy wobec Unii Europejskiej w latach 1991-2014</w:t>
            </w:r>
          </w:p>
          <w:p w14:paraId="4AE42E96" w14:textId="77777777" w:rsidR="0085578D" w:rsidRPr="003C4952" w:rsidRDefault="0085578D" w:rsidP="00EA682B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3308" w:type="dxa"/>
          </w:tcPr>
          <w:p w14:paraId="2EDC0370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21E50073" w14:textId="77777777" w:rsidTr="0085578D">
        <w:trPr>
          <w:trHeight w:val="785"/>
        </w:trPr>
        <w:tc>
          <w:tcPr>
            <w:tcW w:w="1192" w:type="dxa"/>
          </w:tcPr>
          <w:p w14:paraId="51565CAC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222222"/>
                <w:lang w:eastAsia="pl-PL"/>
              </w:rPr>
              <w:t>445982</w:t>
            </w:r>
          </w:p>
        </w:tc>
        <w:tc>
          <w:tcPr>
            <w:tcW w:w="9419" w:type="dxa"/>
          </w:tcPr>
          <w:p w14:paraId="6CADE660" w14:textId="77777777" w:rsidR="0085578D" w:rsidRPr="00A76734" w:rsidRDefault="0085578D" w:rsidP="00EA682B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A76734">
              <w:rPr>
                <w:rFonts w:eastAsia="Times New Roman" w:cstheme="minorHAnsi"/>
                <w:color w:val="222222"/>
                <w:lang w:eastAsia="pl-PL"/>
              </w:rPr>
              <w:t>Wpływ masowych migracji, handlu bronią i narkotykami na stosunki Stanów Zjednoczonych z Meksykiem w latach 1964-2022</w:t>
            </w:r>
          </w:p>
          <w:p w14:paraId="666BEC48" w14:textId="77777777" w:rsidR="0085578D" w:rsidRPr="003C4952" w:rsidRDefault="0085578D" w:rsidP="00EA682B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3308" w:type="dxa"/>
          </w:tcPr>
          <w:p w14:paraId="5554664A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083CB2D1" w14:textId="77777777" w:rsidTr="0085578D">
        <w:trPr>
          <w:trHeight w:val="785"/>
        </w:trPr>
        <w:tc>
          <w:tcPr>
            <w:tcW w:w="1192" w:type="dxa"/>
          </w:tcPr>
          <w:p w14:paraId="694EEDE7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445949</w:t>
            </w:r>
          </w:p>
        </w:tc>
        <w:tc>
          <w:tcPr>
            <w:tcW w:w="9419" w:type="dxa"/>
          </w:tcPr>
          <w:p w14:paraId="12D80C39" w14:textId="77777777" w:rsidR="0085578D" w:rsidRPr="00A76734" w:rsidRDefault="0085578D" w:rsidP="00EA682B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Wpływ O</w:t>
            </w:r>
            <w:r w:rsidRPr="003C4952">
              <w:rPr>
                <w:rFonts w:eastAsia="Times New Roman" w:cstheme="minorHAnsi"/>
                <w:color w:val="000000"/>
                <w:lang w:eastAsia="pl-PL"/>
              </w:rPr>
              <w:t xml:space="preserve">rganizacji Państw </w:t>
            </w:r>
            <w:r w:rsidRPr="00A76734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Pr="003C4952">
              <w:rPr>
                <w:rFonts w:eastAsia="Times New Roman" w:cstheme="minorHAnsi"/>
                <w:color w:val="000000"/>
                <w:lang w:eastAsia="pl-PL"/>
              </w:rPr>
              <w:t>merykańskich</w:t>
            </w:r>
            <w:r w:rsidRPr="00A76734">
              <w:rPr>
                <w:rFonts w:eastAsia="Times New Roman" w:cstheme="minorHAnsi"/>
                <w:color w:val="000000"/>
                <w:lang w:eastAsia="pl-PL"/>
              </w:rPr>
              <w:t xml:space="preserve"> na procesy polityczne w Boliwii i Wenezueli w latach 2018-2020</w:t>
            </w:r>
          </w:p>
          <w:p w14:paraId="0559A520" w14:textId="77777777" w:rsidR="0085578D" w:rsidRPr="003C4952" w:rsidRDefault="0085578D" w:rsidP="00EA682B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3308" w:type="dxa"/>
          </w:tcPr>
          <w:p w14:paraId="5B207BDD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2C0A2309" w14:textId="77777777" w:rsidTr="0085578D">
        <w:trPr>
          <w:trHeight w:val="533"/>
        </w:trPr>
        <w:tc>
          <w:tcPr>
            <w:tcW w:w="1192" w:type="dxa"/>
          </w:tcPr>
          <w:p w14:paraId="1BA4B420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445991</w:t>
            </w:r>
          </w:p>
        </w:tc>
        <w:tc>
          <w:tcPr>
            <w:tcW w:w="9419" w:type="dxa"/>
          </w:tcPr>
          <w:p w14:paraId="3F19DD63" w14:textId="77777777" w:rsidR="0085578D" w:rsidRPr="00A76734" w:rsidRDefault="0085578D" w:rsidP="00EA682B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Polityka zagraniczna Francji wobec krajów Afryki Zachodniej w latach 1960-2020</w:t>
            </w:r>
          </w:p>
          <w:p w14:paraId="5E4EF308" w14:textId="77777777" w:rsidR="0085578D" w:rsidRPr="003C4952" w:rsidRDefault="0085578D" w:rsidP="00EA682B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3308" w:type="dxa"/>
          </w:tcPr>
          <w:p w14:paraId="15CE7278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7EA88086" w14:textId="77777777" w:rsidTr="0085578D">
        <w:trPr>
          <w:trHeight w:val="518"/>
        </w:trPr>
        <w:tc>
          <w:tcPr>
            <w:tcW w:w="1192" w:type="dxa"/>
          </w:tcPr>
          <w:p w14:paraId="1BEEE803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395244 </w:t>
            </w:r>
          </w:p>
        </w:tc>
        <w:tc>
          <w:tcPr>
            <w:tcW w:w="9419" w:type="dxa"/>
          </w:tcPr>
          <w:p w14:paraId="7178E878" w14:textId="77777777" w:rsidR="0085578D" w:rsidRPr="00A76734" w:rsidRDefault="0085578D" w:rsidP="00EA682B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„Trzecie Kino" jako soft power państw Globalnego Południa </w:t>
            </w:r>
          </w:p>
          <w:p w14:paraId="467B253A" w14:textId="77777777" w:rsidR="0085578D" w:rsidRPr="003C4952" w:rsidRDefault="0085578D" w:rsidP="00EA682B">
            <w:pPr>
              <w:rPr>
                <w:rFonts w:cstheme="minorHAnsi"/>
              </w:rPr>
            </w:pPr>
          </w:p>
        </w:tc>
        <w:tc>
          <w:tcPr>
            <w:tcW w:w="3308" w:type="dxa"/>
          </w:tcPr>
          <w:p w14:paraId="7D4FEF9E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171F5451" w14:textId="77777777" w:rsidTr="0085578D">
        <w:trPr>
          <w:trHeight w:val="533"/>
        </w:trPr>
        <w:tc>
          <w:tcPr>
            <w:tcW w:w="1192" w:type="dxa"/>
          </w:tcPr>
          <w:p w14:paraId="215785E6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386867</w:t>
            </w:r>
          </w:p>
        </w:tc>
        <w:tc>
          <w:tcPr>
            <w:tcW w:w="9419" w:type="dxa"/>
          </w:tcPr>
          <w:p w14:paraId="1221755B" w14:textId="77777777" w:rsidR="0085578D" w:rsidRPr="003C4952" w:rsidRDefault="0085578D" w:rsidP="00EA682B">
            <w:pPr>
              <w:rPr>
                <w:rFonts w:cstheme="minorHAnsi"/>
              </w:rPr>
            </w:pPr>
            <w:r w:rsidRPr="00A76734">
              <w:rPr>
                <w:rFonts w:eastAsia="Times New Roman" w:cstheme="minorHAnsi"/>
                <w:color w:val="000000"/>
                <w:lang w:eastAsia="pl-PL"/>
              </w:rPr>
              <w:t>Wpływ zasob</w:t>
            </w:r>
            <w:r w:rsidRPr="00A76734">
              <w:rPr>
                <w:rFonts w:eastAsia="Times New Roman" w:cstheme="minorHAnsi"/>
                <w:color w:val="000000"/>
                <w:lang w:val="es-ES_tradnl" w:eastAsia="pl-PL"/>
              </w:rPr>
              <w:t>ó</w:t>
            </w:r>
            <w:r w:rsidRPr="00A76734">
              <w:rPr>
                <w:rFonts w:eastAsia="Times New Roman" w:cstheme="minorHAnsi"/>
                <w:color w:val="000000"/>
                <w:lang w:eastAsia="pl-PL"/>
              </w:rPr>
              <w:t>w wodnych na bezpieczeństwo energetyczne państw Ameryki Południowej</w:t>
            </w:r>
          </w:p>
        </w:tc>
        <w:tc>
          <w:tcPr>
            <w:tcW w:w="3308" w:type="dxa"/>
          </w:tcPr>
          <w:p w14:paraId="289FD79C" w14:textId="77777777" w:rsidR="0085578D" w:rsidRPr="003C4952" w:rsidRDefault="0085578D" w:rsidP="00EA682B">
            <w:pPr>
              <w:rPr>
                <w:rFonts w:cstheme="minorHAnsi"/>
              </w:rPr>
            </w:pPr>
            <w:r w:rsidRPr="003C4952">
              <w:rPr>
                <w:rFonts w:cstheme="minorHAnsi"/>
              </w:rPr>
              <w:t>M. Gawrycki</w:t>
            </w:r>
          </w:p>
        </w:tc>
      </w:tr>
      <w:tr w:rsidR="0085578D" w:rsidRPr="003C4952" w14:paraId="76708F1F" w14:textId="77777777" w:rsidTr="0085578D">
        <w:trPr>
          <w:trHeight w:val="1052"/>
        </w:trPr>
        <w:tc>
          <w:tcPr>
            <w:tcW w:w="1192" w:type="dxa"/>
          </w:tcPr>
          <w:p w14:paraId="27F25655" w14:textId="77777777" w:rsidR="0085578D" w:rsidRPr="00A76734" w:rsidRDefault="0085578D" w:rsidP="00EA682B">
            <w:pPr>
              <w:rPr>
                <w:rFonts w:eastAsia="Times New Roman" w:cstheme="minorHAnsi"/>
                <w:color w:val="000000"/>
                <w:lang w:eastAsia="pl-PL"/>
              </w:rPr>
            </w:pPr>
            <w:r>
              <w:t>412772</w:t>
            </w:r>
          </w:p>
        </w:tc>
        <w:tc>
          <w:tcPr>
            <w:tcW w:w="9419" w:type="dxa"/>
          </w:tcPr>
          <w:p w14:paraId="6C235DBE" w14:textId="77777777" w:rsidR="0085578D" w:rsidRDefault="0085578D" w:rsidP="00EA682B">
            <w:pPr>
              <w:tabs>
                <w:tab w:val="left" w:pos="5000"/>
              </w:tabs>
              <w:jc w:val="both"/>
            </w:pPr>
            <w:r>
              <w:t>Relacje polityczne i gospodarcze Unii Europejskiej z państwami regionu Bliskiego Wschodu w XXI wieku na przykładzie stosunków z Izraelem, Arabią Saudyjską oraz Iranem.</w:t>
            </w:r>
          </w:p>
          <w:p w14:paraId="23D024C8" w14:textId="77777777" w:rsidR="0085578D" w:rsidRPr="00A76734" w:rsidRDefault="0085578D" w:rsidP="00EA682B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308" w:type="dxa"/>
          </w:tcPr>
          <w:p w14:paraId="031FCFB9" w14:textId="77777777" w:rsidR="0085578D" w:rsidRPr="003C4952" w:rsidRDefault="0085578D" w:rsidP="00EA682B">
            <w:pPr>
              <w:rPr>
                <w:rFonts w:cstheme="minorHAnsi"/>
              </w:rPr>
            </w:pPr>
            <w:r>
              <w:t>K. Kołodziejczyk</w:t>
            </w:r>
          </w:p>
        </w:tc>
      </w:tr>
    </w:tbl>
    <w:p w14:paraId="0F9227C0" w14:textId="55B8C06F" w:rsidR="00BC60ED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E3636" w14:textId="77777777" w:rsidR="00187E08" w:rsidRDefault="00187E08" w:rsidP="00ED051E">
      <w:pPr>
        <w:spacing w:after="0" w:line="240" w:lineRule="auto"/>
      </w:pPr>
      <w:r>
        <w:separator/>
      </w:r>
    </w:p>
  </w:endnote>
  <w:endnote w:type="continuationSeparator" w:id="0">
    <w:p w14:paraId="6CAF64EA" w14:textId="77777777" w:rsidR="00187E08" w:rsidRDefault="00187E0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40A2E" w14:textId="77777777" w:rsidR="00187E08" w:rsidRDefault="00187E08" w:rsidP="00ED051E">
      <w:pPr>
        <w:spacing w:after="0" w:line="240" w:lineRule="auto"/>
      </w:pPr>
      <w:r>
        <w:separator/>
      </w:r>
    </w:p>
  </w:footnote>
  <w:footnote w:type="continuationSeparator" w:id="0">
    <w:p w14:paraId="7C99DD3D" w14:textId="77777777" w:rsidR="00187E08" w:rsidRDefault="00187E0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10840B-2853-462C-907F-8832D252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2023-01-26T14:25:00Z</cp:lastPrinted>
  <dcterms:created xsi:type="dcterms:W3CDTF">2023-06-26T07:36:00Z</dcterms:created>
  <dcterms:modified xsi:type="dcterms:W3CDTF">2023-07-03T08:35:00Z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