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UCHWAŁA NR 5/2025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C9170C" w:rsidRDefault="00704A0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13 marca 2025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cyberbezpieczeństwo</w:t>
      </w:r>
      <w:proofErr w:type="spellEnd"/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9170C" w:rsidRDefault="00704A0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27/2024 Rady Dydaktycznej nr 23 z dnia 25 kwietnia 2024 r. w sprawie szczegółowych zasad procesu dyplomowania na k</w:t>
      </w:r>
      <w:r>
        <w:rPr>
          <w:rFonts w:ascii="Arial" w:eastAsia="Arial" w:hAnsi="Arial" w:cs="Arial"/>
          <w:sz w:val="24"/>
          <w:szCs w:val="24"/>
        </w:rPr>
        <w:t xml:space="preserve">ierunku </w:t>
      </w:r>
      <w:proofErr w:type="spellStart"/>
      <w:r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>
        <w:rPr>
          <w:rFonts w:ascii="Arial" w:eastAsia="Arial" w:hAnsi="Arial" w:cs="Arial"/>
          <w:sz w:val="24"/>
          <w:szCs w:val="24"/>
        </w:rPr>
        <w:t>, II stopnia, Rada Dydaktyczna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studiów </w:t>
      </w:r>
      <w:proofErr w:type="spellStart"/>
      <w:r>
        <w:rPr>
          <w:rFonts w:ascii="Arial" w:eastAsia="Arial" w:hAnsi="Arial" w:cs="Arial"/>
          <w:sz w:val="24"/>
          <w:szCs w:val="24"/>
        </w:rPr>
        <w:t>cyberbezpieczeństwo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pPr>
        <w:rPr>
          <w:rFonts w:ascii="Arial" w:eastAsia="Arial" w:hAnsi="Arial" w:cs="Arial"/>
          <w:i/>
          <w:sz w:val="24"/>
          <w:szCs w:val="24"/>
        </w:rPr>
        <w:sectPr w:rsidR="00C9170C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C9170C" w:rsidRDefault="00704A0A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 xml:space="preserve">do uchwały nr 5/2025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</w:rPr>
        <w:t xml:space="preserve">ie z dnia 13 marca 2025 r. w sprawie zatwierdzenia tematów prac dyplomowych na kierunku studiów </w:t>
      </w:r>
      <w:proofErr w:type="spellStart"/>
      <w:r>
        <w:rPr>
          <w:rFonts w:ascii="Arial" w:eastAsia="Arial" w:hAnsi="Arial" w:cs="Arial"/>
        </w:rPr>
        <w:t>cyberbezpieczeństwo</w:t>
      </w:r>
      <w:proofErr w:type="spellEnd"/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 xml:space="preserve">Tematy prac dyplomowych na kierunku studiów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cyberbezpieczeństwo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 II stopnia (r. a. 2024/2025)</w:t>
      </w:r>
    </w:p>
    <w:p w:rsidR="00C9170C" w:rsidRDefault="00C917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aramond" w:eastAsia="Garamond" w:hAnsi="Garamond" w:cs="Garamond"/>
          <w:color w:val="000000"/>
          <w:sz w:val="24"/>
          <w:szCs w:val="24"/>
        </w:rPr>
      </w:pPr>
    </w:p>
    <w:tbl>
      <w:tblPr>
        <w:tblStyle w:val="a1"/>
        <w:tblW w:w="139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11"/>
        <w:gridCol w:w="8953"/>
        <w:gridCol w:w="2556"/>
      </w:tblGrid>
      <w:tr w:rsidR="00C9170C">
        <w:trPr>
          <w:trHeight w:val="598"/>
        </w:trPr>
        <w:tc>
          <w:tcPr>
            <w:tcW w:w="576" w:type="dxa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911" w:type="dxa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</w:tc>
        <w:tc>
          <w:tcPr>
            <w:tcW w:w="8954" w:type="dxa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</w:p>
        </w:tc>
        <w:tc>
          <w:tcPr>
            <w:tcW w:w="2556" w:type="dxa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465418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Ewaluacja narzędzi technologicznych wspierających prywatność w Internecie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446348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Metodyka wykrywania dezinformacji w Internecie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423360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Wywiad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jawnoźródłowy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działaniach zbrojnych – techniki, narzędzia, heurystyki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455031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Analiza funkcjonowania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darkmarketów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sieci Tor. Studium przypadku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434305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Oszustwa,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ewazja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podatkowa i pranie brudnych pieniędzy z wykorzystaniem platformy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Steam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434001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Sztuczna inteligencja w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cyberbezpieczeństwie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. Szanse i zagrożenia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434372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Ideologie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manosfery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Internecie – anali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 zagrożeń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463153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Analiza śledcza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blockchainu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Bitcoina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Daniel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Mider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463155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Analiza systemowa krajowego systemu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Potejko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434326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Analiza mechanizmów stosowanych w atakach inżynierii społecznej. Implikacje dla środków obronnych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Potejko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427931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Inwigilacja w cyberprzestrzeni – wpływ narzędzi informatycznych na kontrolę społeczeństwa i prywatność jednostki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Potejko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463123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Wpływ prawa i polityk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na funkcjonowanie sektora publicznego w odpowiedzi na ewoluujące zagrożenia cyfrowe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Potejko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409565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Cyberochrona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firm polskich w czasie wojny w Ukrainie w latach 2022-2024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Potejko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434053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Analiza wpływu zastosowania Internetu rzeczy i sztucznej inteligencji w przemyśle na bezpieczeństwo informacji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Piotr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Potejko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429498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Problematyka wprowadzania systemu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małych organizacjach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434335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Phishing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bankowości elektronicznej. Analiza wybranych metod socjotechnicznych wpływania na potencjalne ofiary i świadomość społeczna w Polsce na temat metod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phishingowych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440946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„Obiekt D14” – projekt autorskiej komputerowej gry dydaktycznej z zakresu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423454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Ewolucja unijnych aktów prawnych w zakresie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. Analiza dyrektyw NIS, NIS2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próba predykcji NIS3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463128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Cyberprzestępczość w mediach społecznościowych. Analiza zagrożeń oraz skuteczność polityk prywatności w ochronie użytkowników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429982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Bezpieczeństwo menedżerów haseł w dobie rosnących zagrożeń cyb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ernetycznych </w:t>
            </w:r>
            <w:r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analiza wybranych rozwiązań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371404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Analiza porównawcza systemów monitorowania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cyberzagrożeń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Unii Europejskiej i Chinach: aspekty techniczne, prawne i perspektywy rozwoju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463148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laboratoriach medycznych. Analiza zagrożeń i strategii ochrony danych biologicznych i medycznych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460048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Wymagania dyrektywy NIS2 a zabezpieczenia sieci OT w sektorze energetycznym: analiza wyzwań i dobrych praktyk wdrożeniowych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dr inż. Dariusz Jaruga</w:t>
            </w:r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420660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Cyberbezpieczeństwo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transformacji cyfrowej sektora IT w Polsce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448009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Nowe formy walki w cyberprzestrzeni – analiza działań podczas konfliktu zbrojnego na Ukrainie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432800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Ewolucja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cyberzagrożeń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 poziom świadomości młodych dorosłych w zakresie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cyberhigieny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433899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Bezpieczeństwo bankowości mobilnej. Analiza rozwoju, zabezpieczeń i ocena systemu płatności BLIK w kontekście zagrożeń cyberprzestępczości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463950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Bezpieczeństwo cyfrowe e-commerce w latach 2020-2024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433336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Zagrożenia w cyberprzestrzeni: badanie świadomości użytkowników i rekomendacje skutecznych metod ochrony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409623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Dezinformacja w cyberprzestrzeni jako narzędzie wpływu – analiza zjawiska i sposobów przeciwdziałania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434445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Cyfryzacja administracji publicznej. Nowe wyzwania dla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na przykładzie Zakładu Ubezpieczeń Społec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znych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421785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Edukacja pracowników jako narzędzie poprawy stanu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przedsiębiorstwie – studium przypadku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  <w:tr w:rsidR="00C9170C">
        <w:trPr>
          <w:trHeight w:val="5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463154</w:t>
            </w:r>
          </w:p>
        </w:tc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Unifikacja przepisów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w Unii Europejskiej na tle zagrożeń w cyberprzestrzeni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70C" w:rsidRDefault="00704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inż. Bartłomiej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Moszoro</w:t>
            </w:r>
            <w:proofErr w:type="spellEnd"/>
          </w:p>
        </w:tc>
      </w:tr>
    </w:tbl>
    <w:p w:rsidR="00C9170C" w:rsidRDefault="00C9170C">
      <w:pPr>
        <w:rPr>
          <w:rFonts w:ascii="Arial" w:eastAsia="Arial" w:hAnsi="Arial" w:cs="Arial"/>
          <w:sz w:val="24"/>
          <w:szCs w:val="24"/>
        </w:rPr>
      </w:pPr>
    </w:p>
    <w:sectPr w:rsidR="00C9170C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A0A" w:rsidRDefault="00704A0A">
      <w:pPr>
        <w:spacing w:after="0" w:line="240" w:lineRule="auto"/>
      </w:pPr>
      <w:r>
        <w:separator/>
      </w:r>
    </w:p>
  </w:endnote>
  <w:endnote w:type="continuationSeparator" w:id="0">
    <w:p w:rsidR="00704A0A" w:rsidRDefault="0070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A0A" w:rsidRDefault="00704A0A">
      <w:pPr>
        <w:spacing w:after="0" w:line="240" w:lineRule="auto"/>
      </w:pPr>
      <w:r>
        <w:separator/>
      </w:r>
    </w:p>
  </w:footnote>
  <w:footnote w:type="continuationSeparator" w:id="0">
    <w:p w:rsidR="00704A0A" w:rsidRDefault="00704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381D6A"/>
    <w:rsid w:val="00704A0A"/>
    <w:rsid w:val="00C9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2025-03-17T11:15:00Z</dcterms:created>
  <dcterms:modified xsi:type="dcterms:W3CDTF">2025-03-17T11:15:00Z</dcterms:modified>
</cp:coreProperties>
</file>